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5066"/>
      </w:tblGrid>
      <w:tr w:rsidR="006A332F" w14:paraId="428BC069" w14:textId="77777777">
        <w:trPr>
          <w:cantSplit/>
          <w:trHeight w:hRule="exact" w:val="1361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5291029E" w14:textId="77777777" w:rsidR="006A332F" w:rsidRDefault="005973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8F726FC" wp14:editId="47F60D4B">
                  <wp:extent cx="2880366" cy="758954"/>
                  <wp:effectExtent l="0" t="0" r="0" b="3175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7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201E395F" w14:textId="77777777" w:rsidR="006A332F" w:rsidRDefault="00D57396">
            <w:pPr>
              <w:jc w:val="right"/>
              <w:rPr>
                <w:rFonts w:ascii="Verdana" w:hAnsi="Verdana" w:cs="Arial"/>
                <w:sz w:val="18"/>
                <w:lang w:val="fr-FR"/>
              </w:rPr>
            </w:pPr>
            <w:r>
              <w:rPr>
                <w:rFonts w:ascii="Verdana" w:hAnsi="Verdana" w:cs="Arial"/>
                <w:noProof/>
                <w:sz w:val="18"/>
                <w:lang w:val="fr-FR"/>
              </w:rPr>
              <w:drawing>
                <wp:inline distT="0" distB="0" distL="0" distR="0" wp14:anchorId="3B380304" wp14:editId="17CA539B">
                  <wp:extent cx="3060198" cy="865634"/>
                  <wp:effectExtent l="0" t="0" r="6985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8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616041" w14:textId="77777777" w:rsidR="006A332F" w:rsidRDefault="006A332F">
      <w:pPr>
        <w:pStyle w:val="Retraitcorpsdetexte"/>
        <w:rPr>
          <w:rFonts w:cs="Arial"/>
          <w:b/>
          <w:bCs/>
          <w:lang w:val="nl-NL"/>
        </w:rPr>
        <w:sectPr w:rsidR="006A332F">
          <w:pgSz w:w="11907" w:h="16840" w:code="9"/>
          <w:pgMar w:top="851" w:right="851" w:bottom="567" w:left="851" w:header="709" w:footer="567" w:gutter="0"/>
          <w:cols w:space="720"/>
          <w:docGrid w:linePitch="360"/>
        </w:sectPr>
      </w:pPr>
    </w:p>
    <w:p w14:paraId="4302521C" w14:textId="77777777" w:rsidR="005C213D" w:rsidRDefault="005C213D" w:rsidP="005C213D">
      <w:pPr>
        <w:pStyle w:val="Titre1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Formulaire</w:t>
      </w:r>
      <w:proofErr w:type="gramStart"/>
      <w:r>
        <w:rPr>
          <w:rFonts w:ascii="Century Gothic" w:hAnsi="Century Gothic"/>
          <w:sz w:val="22"/>
          <w:lang w:val="fr-FR"/>
        </w:rPr>
        <w:t xml:space="preserve"> «Annonce</w:t>
      </w:r>
      <w:proofErr w:type="gramEnd"/>
      <w:r>
        <w:rPr>
          <w:rFonts w:ascii="Century Gothic" w:hAnsi="Century Gothic"/>
          <w:sz w:val="22"/>
          <w:lang w:val="fr-FR"/>
        </w:rPr>
        <w:t xml:space="preserve"> du licenciement collectif»</w:t>
      </w:r>
      <w:r>
        <w:rPr>
          <w:rStyle w:val="Appelnotedebasdep"/>
          <w:rFonts w:ascii="Century Gothic" w:hAnsi="Century Gothic"/>
          <w:sz w:val="22"/>
          <w:lang w:val="fr-FR"/>
        </w:rPr>
        <w:footnoteReference w:id="1"/>
      </w:r>
      <w:r>
        <w:rPr>
          <w:rFonts w:ascii="Century Gothic" w:hAnsi="Century Gothic"/>
          <w:sz w:val="22"/>
          <w:lang w:val="fr-FR"/>
        </w:rPr>
        <w:t xml:space="preserve"> </w:t>
      </w:r>
    </w:p>
    <w:p w14:paraId="4B14C91F" w14:textId="77777777" w:rsidR="005C213D" w:rsidRDefault="005C213D" w:rsidP="005C213D">
      <w:pPr>
        <w:rPr>
          <w:rFonts w:ascii="Century Gothic" w:hAnsi="Century Gothic"/>
          <w:lang w:val="fr-FR"/>
        </w:rPr>
      </w:pPr>
    </w:p>
    <w:p w14:paraId="77749901" w14:textId="77777777" w:rsidR="005C213D" w:rsidRDefault="005C213D" w:rsidP="005C213D">
      <w:pPr>
        <w:rPr>
          <w:sz w:val="18"/>
          <w:lang w:val="fr-FR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2291"/>
        <w:gridCol w:w="2291"/>
        <w:gridCol w:w="2291"/>
      </w:tblGrid>
      <w:tr w:rsidR="005C213D" w:rsidRPr="00C6468C" w14:paraId="4B950E29" w14:textId="77777777" w:rsidTr="00206D16">
        <w:trPr>
          <w:cantSplit/>
          <w:trHeight w:val="1215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E6E6E6"/>
          </w:tcPr>
          <w:p w14:paraId="4F1EA709" w14:textId="77777777" w:rsidR="005C213D" w:rsidRDefault="005C213D" w:rsidP="00206D16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sz w:val="18"/>
                <w:lang w:val="fr-FR"/>
              </w:rPr>
              <w:t xml:space="preserve">Ces renseignements doivent être communiqués : </w:t>
            </w:r>
          </w:p>
          <w:p w14:paraId="65FADEDB" w14:textId="77777777" w:rsidR="005C213D" w:rsidRDefault="005C213D" w:rsidP="00206D16">
            <w:pPr>
              <w:ind w:left="900"/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  <w:p w14:paraId="6444688C" w14:textId="77777777" w:rsidR="005C213D" w:rsidRDefault="005C213D" w:rsidP="005C213D">
            <w:pPr>
              <w:numPr>
                <w:ilvl w:val="0"/>
                <w:numId w:val="2"/>
              </w:numPr>
              <w:tabs>
                <w:tab w:val="num" w:pos="1620"/>
              </w:tabs>
              <w:jc w:val="both"/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sz w:val="18"/>
                <w:lang w:val="fr-FR"/>
              </w:rPr>
              <w:t xml:space="preserve">Au </w:t>
            </w:r>
            <w:r>
              <w:rPr>
                <w:rFonts w:ascii="Century Gothic" w:hAnsi="Century Gothic"/>
                <w:b/>
                <w:bCs/>
                <w:sz w:val="18"/>
                <w:lang w:val="fr-FR"/>
              </w:rPr>
              <w:t>conseil d’entreprise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, à défaut d’un tel conseil, à la </w:t>
            </w:r>
            <w:r>
              <w:rPr>
                <w:rFonts w:ascii="Century Gothic" w:hAnsi="Century Gothic"/>
                <w:b/>
                <w:bCs/>
                <w:sz w:val="18"/>
                <w:lang w:val="fr-FR"/>
              </w:rPr>
              <w:t>délégation syndicale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.  A défaut de conseil d’entreprise et de délégation syndicale, </w:t>
            </w:r>
            <w:r>
              <w:rPr>
                <w:rFonts w:ascii="Century Gothic" w:hAnsi="Century Gothic"/>
                <w:b/>
                <w:bCs/>
                <w:sz w:val="18"/>
                <w:lang w:val="fr-FR"/>
              </w:rPr>
              <w:t xml:space="preserve">le comité pour la prévention et la protection des travailleurs. 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A défaut de ces trois instances, au </w:t>
            </w:r>
            <w:r>
              <w:rPr>
                <w:rFonts w:ascii="Century Gothic" w:hAnsi="Century Gothic"/>
                <w:b/>
                <w:bCs/>
                <w:sz w:val="18"/>
                <w:lang w:val="fr-FR"/>
              </w:rPr>
              <w:t xml:space="preserve">personnel ou à ses représentants. </w:t>
            </w:r>
          </w:p>
          <w:p w14:paraId="2F6BBFC4" w14:textId="77777777" w:rsidR="005C213D" w:rsidRDefault="005C213D" w:rsidP="00206D16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  <w:p w14:paraId="53A8942C" w14:textId="77777777" w:rsidR="005C213D" w:rsidRDefault="005C213D" w:rsidP="005C213D">
            <w:pPr>
              <w:numPr>
                <w:ilvl w:val="0"/>
                <w:numId w:val="2"/>
              </w:numPr>
              <w:tabs>
                <w:tab w:val="num" w:pos="1620"/>
              </w:tabs>
              <w:jc w:val="both"/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sz w:val="18"/>
                <w:lang w:val="fr-FR"/>
              </w:rPr>
              <w:t xml:space="preserve">Au </w:t>
            </w:r>
            <w:r>
              <w:rPr>
                <w:rFonts w:ascii="Century Gothic" w:hAnsi="Century Gothic"/>
                <w:b/>
                <w:bCs/>
                <w:sz w:val="18"/>
                <w:lang w:val="fr-FR"/>
              </w:rPr>
              <w:t>directeur du bureau subrégional de l’emploi du lieu où l’entreprise est établie</w:t>
            </w:r>
            <w:r>
              <w:rPr>
                <w:rFonts w:ascii="Century Gothic" w:hAnsi="Century Gothic"/>
                <w:sz w:val="18"/>
                <w:lang w:val="fr-FR"/>
              </w:rPr>
              <w:t>.</w:t>
            </w:r>
          </w:p>
          <w:p w14:paraId="05495140" w14:textId="77777777" w:rsidR="005C213D" w:rsidRDefault="005C213D" w:rsidP="00206D16">
            <w:pPr>
              <w:tabs>
                <w:tab w:val="num" w:pos="1620"/>
              </w:tabs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  <w:p w14:paraId="68BEC1FD" w14:textId="77777777" w:rsidR="005C213D" w:rsidRPr="005C213D" w:rsidRDefault="005C213D" w:rsidP="005C213D">
            <w:pPr>
              <w:numPr>
                <w:ilvl w:val="0"/>
                <w:numId w:val="2"/>
              </w:numPr>
              <w:tabs>
                <w:tab w:val="num" w:pos="1620"/>
              </w:tabs>
              <w:jc w:val="both"/>
              <w:rPr>
                <w:i/>
                <w:iCs/>
                <w:lang w:val="fr-FR"/>
              </w:rPr>
            </w:pPr>
            <w:r w:rsidRPr="00F8685B">
              <w:rPr>
                <w:rFonts w:ascii="Century Gothic" w:hAnsi="Century Gothic"/>
                <w:sz w:val="18"/>
                <w:lang w:val="fr-FR"/>
              </w:rPr>
              <w:t xml:space="preserve">Au </w:t>
            </w:r>
            <w:r w:rsidRPr="00F8685B">
              <w:rPr>
                <w:rFonts w:ascii="Century Gothic" w:hAnsi="Century Gothic"/>
                <w:b/>
                <w:bCs/>
                <w:sz w:val="18"/>
                <w:lang w:val="fr-FR"/>
              </w:rPr>
              <w:t>Service public fédéral Emploi, Travail et Concertation sociale</w:t>
            </w:r>
            <w:r w:rsidRPr="00F8685B">
              <w:rPr>
                <w:rFonts w:ascii="Century Gothic" w:hAnsi="Century Gothic"/>
                <w:sz w:val="18"/>
                <w:lang w:val="fr-FR"/>
              </w:rPr>
              <w:t xml:space="preserve">, par mail : </w:t>
            </w:r>
            <w:r w:rsidRPr="00F8685B">
              <w:rPr>
                <w:rFonts w:ascii="Century Gothic" w:hAnsi="Century Gothic"/>
                <w:b/>
                <w:bCs/>
                <w:sz w:val="18"/>
                <w:lang w:val="fr-FR"/>
              </w:rPr>
              <w:t xml:space="preserve"> </w:t>
            </w:r>
            <w:r w:rsidR="00000000">
              <w:fldChar w:fldCharType="begin"/>
            </w:r>
            <w:r w:rsidR="00000000" w:rsidRPr="00C6468C">
              <w:rPr>
                <w:lang w:val="fr-BE"/>
              </w:rPr>
              <w:instrText>HYPERLINK "mailto:restructuration@emploi.belgique.be"</w:instrText>
            </w:r>
            <w:r w:rsidR="00000000">
              <w:fldChar w:fldCharType="separate"/>
            </w:r>
            <w:r w:rsidRPr="00F8685B">
              <w:rPr>
                <w:rStyle w:val="Lienhypertexte"/>
                <w:rFonts w:ascii="Century Gothic" w:hAnsi="Century Gothic"/>
                <w:b/>
                <w:bCs/>
                <w:sz w:val="18"/>
                <w:highlight w:val="yellow"/>
                <w:lang w:val="fr-FR"/>
              </w:rPr>
              <w:t>restructuration@emploi.belgique.be</w:t>
            </w:r>
            <w:r w:rsidR="00000000">
              <w:rPr>
                <w:rStyle w:val="Lienhypertexte"/>
                <w:rFonts w:ascii="Century Gothic" w:hAnsi="Century Gothic"/>
                <w:b/>
                <w:bCs/>
                <w:sz w:val="18"/>
                <w:highlight w:val="yellow"/>
                <w:lang w:val="fr-FR"/>
              </w:rPr>
              <w:fldChar w:fldCharType="end"/>
            </w:r>
            <w:r w:rsidRPr="00F8685B">
              <w:rPr>
                <w:rFonts w:ascii="Century Gothic" w:hAnsi="Century Gothic"/>
                <w:sz w:val="18"/>
                <w:lang w:val="fr-FR"/>
              </w:rPr>
              <w:t>.</w:t>
            </w:r>
            <w:r>
              <w:rPr>
                <w:rFonts w:ascii="Century Gothic" w:hAnsi="Century Gothic"/>
                <w:sz w:val="18"/>
                <w:lang w:val="fr-FR"/>
              </w:rPr>
              <w:br/>
            </w:r>
          </w:p>
          <w:p w14:paraId="7924FA85" w14:textId="77777777" w:rsidR="005C213D" w:rsidRPr="00F66E97" w:rsidRDefault="005C213D" w:rsidP="005C213D">
            <w:pPr>
              <w:numPr>
                <w:ilvl w:val="0"/>
                <w:numId w:val="2"/>
              </w:numPr>
              <w:tabs>
                <w:tab w:val="num" w:pos="1620"/>
              </w:tabs>
              <w:rPr>
                <w:rFonts w:ascii="Century Gothic" w:hAnsi="Century Gothic"/>
                <w:i/>
                <w:sz w:val="18"/>
                <w:lang w:val="fr-FR"/>
              </w:rPr>
            </w:pPr>
            <w:r w:rsidRPr="00F8685B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 w:rsidRPr="00F66E97">
              <w:rPr>
                <w:rFonts w:ascii="Century Gothic" w:hAnsi="Century Gothic"/>
                <w:i/>
                <w:sz w:val="18"/>
                <w:lang w:val="fr-FR"/>
              </w:rPr>
              <w:t xml:space="preserve">Lors de </w:t>
            </w:r>
            <w:r w:rsidRPr="00D92264">
              <w:rPr>
                <w:rFonts w:ascii="Century Gothic" w:hAnsi="Century Gothic"/>
                <w:b/>
                <w:i/>
                <w:sz w:val="18"/>
                <w:lang w:val="fr-FR"/>
              </w:rPr>
              <w:t>l’envoi électronique</w:t>
            </w:r>
            <w:r w:rsidRPr="00F66E97">
              <w:rPr>
                <w:rFonts w:ascii="Century Gothic" w:hAnsi="Century Gothic"/>
                <w:i/>
                <w:sz w:val="18"/>
                <w:lang w:val="fr-FR"/>
              </w:rPr>
              <w:t xml:space="preserve"> du formulaire, un accusé de réception sera automatiquement transmis.</w:t>
            </w:r>
            <w:r w:rsidRPr="00F66E97">
              <w:rPr>
                <w:rFonts w:ascii="Century Gothic" w:hAnsi="Century Gothic"/>
                <w:i/>
                <w:sz w:val="18"/>
                <w:lang w:val="fr-FR"/>
              </w:rPr>
              <w:br/>
              <w:t xml:space="preserve">Il n’est donc pas nécessaire de renvoyer le document par voie postale ou par fax. </w:t>
            </w:r>
            <w:r w:rsidRPr="00F66E97">
              <w:rPr>
                <w:rFonts w:ascii="Century Gothic" w:hAnsi="Century Gothic"/>
                <w:i/>
                <w:sz w:val="18"/>
                <w:lang w:val="fr-FR"/>
              </w:rPr>
              <w:br/>
              <w:t>Un tel envoi peut toutefois se justifier, par exemple si les annexes au formulaire sont très volumineuses.</w:t>
            </w:r>
          </w:p>
          <w:p w14:paraId="1AABCAF0" w14:textId="77777777" w:rsidR="005C213D" w:rsidRDefault="005C213D" w:rsidP="00206D16">
            <w:pPr>
              <w:ind w:left="900"/>
              <w:rPr>
                <w:rFonts w:ascii="Century Gothic" w:hAnsi="Century Gothic"/>
                <w:sz w:val="18"/>
                <w:lang w:val="fr-FR"/>
              </w:rPr>
            </w:pPr>
          </w:p>
        </w:tc>
      </w:tr>
      <w:tr w:rsidR="005C213D" w:rsidRPr="00C6468C" w14:paraId="28F53983" w14:textId="77777777" w:rsidTr="00206D16">
        <w:trPr>
          <w:cantSplit/>
          <w:trHeight w:val="1215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E6E6E6"/>
          </w:tcPr>
          <w:p w14:paraId="4C6F86DE" w14:textId="77777777" w:rsidR="005C213D" w:rsidRDefault="005C213D" w:rsidP="005C213D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  <w:p w14:paraId="06C7FC76" w14:textId="62D2CF82" w:rsidR="005C213D" w:rsidRPr="005C213D" w:rsidRDefault="005C213D" w:rsidP="005C213D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sz w:val="18"/>
                <w:lang w:val="fr-FR"/>
              </w:rPr>
              <w:t>Les</w:t>
            </w:r>
            <w:r w:rsidRPr="005C213D">
              <w:rPr>
                <w:rFonts w:ascii="Century Gothic" w:hAnsi="Century Gothic"/>
                <w:sz w:val="18"/>
                <w:lang w:val="fr-FR"/>
              </w:rPr>
              <w:t xml:space="preserve"> partenaires sociaux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 w:rsidRPr="005C213D">
              <w:rPr>
                <w:rFonts w:ascii="Century Gothic" w:hAnsi="Century Gothic"/>
                <w:sz w:val="18"/>
                <w:lang w:val="fr-FR"/>
              </w:rPr>
              <w:t xml:space="preserve">au sein du Conseil </w:t>
            </w:r>
            <w:r>
              <w:rPr>
                <w:rFonts w:ascii="Century Gothic" w:hAnsi="Century Gothic"/>
                <w:sz w:val="18"/>
                <w:lang w:val="fr-FR"/>
              </w:rPr>
              <w:t>N</w:t>
            </w:r>
            <w:r w:rsidRPr="005C213D">
              <w:rPr>
                <w:rFonts w:ascii="Century Gothic" w:hAnsi="Century Gothic"/>
                <w:sz w:val="18"/>
                <w:lang w:val="fr-FR"/>
              </w:rPr>
              <w:t xml:space="preserve">ational du </w:t>
            </w:r>
            <w:r>
              <w:rPr>
                <w:rFonts w:ascii="Century Gothic" w:hAnsi="Century Gothic"/>
                <w:sz w:val="18"/>
                <w:lang w:val="fr-FR"/>
              </w:rPr>
              <w:t>Tr</w:t>
            </w:r>
            <w:r w:rsidRPr="005C213D">
              <w:rPr>
                <w:rFonts w:ascii="Century Gothic" w:hAnsi="Century Gothic"/>
                <w:sz w:val="18"/>
                <w:lang w:val="fr-FR"/>
              </w:rPr>
              <w:t xml:space="preserve">avail ont formulé la </w:t>
            </w:r>
            <w:r w:rsidR="00000000">
              <w:fldChar w:fldCharType="begin"/>
            </w:r>
            <w:r w:rsidR="00000000" w:rsidRPr="00C6468C">
              <w:rPr>
                <w:lang w:val="fr-BE"/>
              </w:rPr>
              <w:instrText>HYPERLINK "https://cnt-nar.be/sites/default/files/documents/AANBEV-RECOM/recommandation-028.pdf"</w:instrText>
            </w:r>
            <w:r w:rsidR="00000000">
              <w:fldChar w:fldCharType="separate"/>
            </w:r>
            <w:r w:rsidRPr="005C213D">
              <w:rPr>
                <w:rStyle w:val="Lienhypertexte"/>
                <w:rFonts w:ascii="Century Gothic" w:hAnsi="Century Gothic"/>
                <w:sz w:val="18"/>
                <w:lang w:val="fr-FR"/>
              </w:rPr>
              <w:t>recommandation n°28</w:t>
            </w:r>
            <w:r w:rsidR="00000000">
              <w:rPr>
                <w:rStyle w:val="Lienhypertexte"/>
                <w:rFonts w:ascii="Century Gothic" w:hAnsi="Century Gothic"/>
                <w:sz w:val="18"/>
                <w:lang w:val="fr-FR"/>
              </w:rPr>
              <w:fldChar w:fldCharType="end"/>
            </w:r>
            <w:r w:rsidRPr="005C213D">
              <w:rPr>
                <w:rFonts w:ascii="Century Gothic" w:hAnsi="Century Gothic"/>
                <w:sz w:val="18"/>
                <w:lang w:val="fr-FR"/>
              </w:rPr>
              <w:t xml:space="preserve"> adressée aux entreprises en ce qui concerne les restructurations. Celle-ci vise à améliorer la qualité des discussions entre l’employeur et les représentants des travailleurs lorsqu’une entreprise est en restructuration, et ce, dans l’intérêt de toutes les parties concernées.</w:t>
            </w:r>
          </w:p>
          <w:p w14:paraId="412CE2E1" w14:textId="77777777" w:rsidR="005C213D" w:rsidRPr="005C213D" w:rsidRDefault="005C213D" w:rsidP="005C213D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  <w:p w14:paraId="262350F9" w14:textId="77777777" w:rsidR="005C213D" w:rsidRDefault="005C213D" w:rsidP="005C213D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  <w:r w:rsidRPr="005C213D">
              <w:rPr>
                <w:rFonts w:ascii="Century Gothic" w:hAnsi="Century Gothic"/>
                <w:sz w:val="18"/>
                <w:lang w:val="fr-FR"/>
              </w:rPr>
              <w:t>Plus particulièrement, deux recommandations sont formulées : 1. une recommandation pour une information-consultation de qualité et efficace et 2. une recommandation concernant les informations à communiquer en relation avec les co-contractants (notamment les sous-traitants et les prestataires de services).</w:t>
            </w:r>
          </w:p>
          <w:p w14:paraId="50B7744B" w14:textId="6D95C7EA" w:rsidR="005C213D" w:rsidRDefault="005C213D" w:rsidP="005C213D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</w:tc>
      </w:tr>
      <w:tr w:rsidR="005C213D" w14:paraId="392EC098" w14:textId="77777777" w:rsidTr="00206D16">
        <w:trPr>
          <w:trHeight w:val="232"/>
        </w:trPr>
        <w:tc>
          <w:tcPr>
            <w:tcW w:w="24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4D24D8" w14:textId="77777777" w:rsidR="005C213D" w:rsidRDefault="005C213D" w:rsidP="00206D16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  <w:p w14:paraId="3131431F" w14:textId="77777777" w:rsidR="005C213D" w:rsidRDefault="005C213D" w:rsidP="00206D16">
            <w:p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  <w:lang w:val="fr-FR"/>
              </w:rPr>
            </w:pPr>
          </w:p>
          <w:p w14:paraId="1A8B462B" w14:textId="3F4ABC94" w:rsidR="005C213D" w:rsidRDefault="005C213D" w:rsidP="00206D16">
            <w:p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lang w:val="fr-FR"/>
              </w:rPr>
              <w:t>1. Données d’identification</w:t>
            </w:r>
          </w:p>
        </w:tc>
        <w:tc>
          <w:tcPr>
            <w:tcW w:w="25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6AA0A2" w14:textId="77777777" w:rsidR="005C213D" w:rsidRDefault="005C213D" w:rsidP="00206D16">
            <w:pPr>
              <w:jc w:val="both"/>
              <w:rPr>
                <w:rFonts w:ascii="Century Gothic" w:hAnsi="Century Gothic"/>
                <w:b/>
                <w:bCs/>
                <w:i/>
                <w:iCs/>
                <w:lang w:val="fr-FR"/>
              </w:rPr>
            </w:pPr>
          </w:p>
          <w:p w14:paraId="38E3D810" w14:textId="77777777" w:rsidR="005C213D" w:rsidRDefault="005C213D" w:rsidP="00206D16">
            <w:pPr>
              <w:jc w:val="both"/>
              <w:rPr>
                <w:rFonts w:ascii="Century Gothic" w:hAnsi="Century Gothic"/>
                <w:b/>
                <w:bCs/>
                <w:i/>
                <w:iCs/>
                <w:lang w:val="fr-FR"/>
              </w:rPr>
            </w:pPr>
          </w:p>
          <w:p w14:paraId="6C0F8EF9" w14:textId="2CA10905" w:rsidR="005C213D" w:rsidRDefault="005C213D" w:rsidP="00206D16">
            <w:pPr>
              <w:jc w:val="both"/>
              <w:rPr>
                <w:rFonts w:ascii="Century Gothic" w:hAnsi="Century Gothic"/>
                <w:b/>
                <w:bCs/>
                <w:i/>
                <w:iCs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t xml:space="preserve">Moins de 20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t>travailleurs?</w:t>
            </w:r>
            <w:proofErr w:type="gramEnd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t xml:space="preserve">   </w:t>
            </w:r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4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bCs/>
                <w:i/>
                <w:iCs/>
                <w:lang w:val="fr-FR"/>
              </w:rPr>
            </w:r>
            <w:r w:rsidR="00000000">
              <w:rPr>
                <w:rFonts w:ascii="Century Gothic" w:hAnsi="Century Gothic"/>
                <w:b/>
                <w:bCs/>
                <w:i/>
                <w:iCs/>
                <w:lang w:val="fr-FR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fldChar w:fldCharType="end"/>
            </w:r>
            <w:bookmarkEnd w:id="0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t xml:space="preserve">     </w:t>
            </w:r>
          </w:p>
          <w:p w14:paraId="3B440067" w14:textId="77777777" w:rsidR="005C213D" w:rsidRDefault="005C213D" w:rsidP="00206D16">
            <w:p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Cocher               </w:t>
            </w:r>
          </w:p>
          <w:p w14:paraId="2BECDEDE" w14:textId="17E4B016" w:rsidR="005C213D" w:rsidRDefault="005C213D" w:rsidP="00206D16">
            <w:pPr>
              <w:jc w:val="both"/>
              <w:rPr>
                <w:rFonts w:ascii="Century Gothic" w:hAnsi="Century Gothic"/>
                <w:sz w:val="18"/>
                <w:lang w:val="fr-FR"/>
              </w:rPr>
            </w:pPr>
          </w:p>
        </w:tc>
      </w:tr>
      <w:tr w:rsidR="005C213D" w:rsidRPr="00C6468C" w14:paraId="669299B4" w14:textId="77777777" w:rsidTr="00206D16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</w:tcPr>
          <w:p w14:paraId="519F47CE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Nom de l’entité(s) juridique(s)</w:t>
            </w:r>
            <w:r>
              <w:rPr>
                <w:rStyle w:val="Appelnotedebasdep"/>
                <w:rFonts w:ascii="Century Gothic" w:hAnsi="Century Gothic"/>
                <w:b/>
                <w:bCs/>
                <w:sz w:val="22"/>
                <w:lang w:val="fr-FR"/>
              </w:rPr>
              <w:footnoteReference w:id="2"/>
            </w: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:</w:t>
            </w:r>
            <w:r>
              <w:rPr>
                <w:rFonts w:ascii="Century Gothic" w:hAnsi="Century Gothic"/>
                <w:sz w:val="22"/>
                <w:lang w:val="fr-FR"/>
              </w:rPr>
              <w:t xml:space="preserve"> </w:t>
            </w:r>
          </w:p>
        </w:tc>
      </w:tr>
      <w:tr w:rsidR="005C213D" w14:paraId="3B241198" w14:textId="77777777" w:rsidTr="00206D16"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</w:tcPr>
          <w:p w14:paraId="211F6F80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  <w:p w14:paraId="4E05448F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5C213D" w:rsidRPr="00C6468C" w14:paraId="7DB9BEA8" w14:textId="77777777" w:rsidTr="00206D16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1C3C06B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b/>
                <w:b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Adresse de l’entité(s) juridique(s</w:t>
            </w:r>
            <w:proofErr w:type="gramStart"/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):</w:t>
            </w:r>
            <w:proofErr w:type="gramEnd"/>
            <w:r>
              <w:rPr>
                <w:rFonts w:ascii="Century Gothic" w:hAnsi="Century Gothic"/>
                <w:sz w:val="22"/>
                <w:lang w:val="fr-FR"/>
              </w:rPr>
              <w:t xml:space="preserve"> </w:t>
            </w:r>
          </w:p>
        </w:tc>
      </w:tr>
      <w:tr w:rsidR="005C213D" w14:paraId="4DB995CF" w14:textId="77777777" w:rsidTr="00206D16"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9D4218D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rPr>
                <w:rFonts w:ascii="Century Gothic" w:hAnsi="Century Gothic"/>
                <w:sz w:val="22"/>
                <w:lang w:val="fr-FR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noProof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noProof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noProof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noProof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fldChar w:fldCharType="end"/>
            </w:r>
            <w:bookmarkEnd w:id="1"/>
          </w:p>
          <w:p w14:paraId="3A17F511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lang w:val="fr-FR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  <w:p w14:paraId="442154A8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5C213D" w:rsidRPr="00C6468C" w14:paraId="33929D00" w14:textId="77777777" w:rsidTr="00206D16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</w:tcPr>
          <w:p w14:paraId="63B50BCD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b/>
                <w:b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Nom de l’unité technique d’exploitation (ci-après UTE</w:t>
            </w:r>
            <w:proofErr w:type="gramStart"/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):</w:t>
            </w:r>
            <w:proofErr w:type="gramEnd"/>
          </w:p>
        </w:tc>
      </w:tr>
      <w:tr w:rsidR="005C213D" w14:paraId="610171CB" w14:textId="77777777" w:rsidTr="00206D16"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</w:tcPr>
          <w:p w14:paraId="1A9DE790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  <w:p w14:paraId="36C93BA1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5C213D" w14:paraId="71740178" w14:textId="77777777" w:rsidTr="00206D16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</w:tcPr>
          <w:p w14:paraId="0F775E94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b/>
                <w:b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 xml:space="preserve">Adresse de </w:t>
            </w:r>
            <w:proofErr w:type="gramStart"/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l’UTE:</w:t>
            </w:r>
            <w:proofErr w:type="gramEnd"/>
          </w:p>
        </w:tc>
      </w:tr>
      <w:tr w:rsidR="005C213D" w14:paraId="01C661D0" w14:textId="77777777" w:rsidTr="00206D16"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</w:tcPr>
          <w:p w14:paraId="0A695128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  <w:p w14:paraId="055B290D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  <w:p w14:paraId="15429012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</w:p>
          <w:p w14:paraId="359DCCCB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</w:tr>
      <w:tr w:rsidR="005C213D" w14:paraId="282CDE9C" w14:textId="77777777" w:rsidTr="00206D16">
        <w:tc>
          <w:tcPr>
            <w:tcW w:w="5000" w:type="pct"/>
            <w:gridSpan w:val="4"/>
            <w:tcBorders>
              <w:top w:val="single" w:sz="6" w:space="0" w:color="auto"/>
            </w:tcBorders>
          </w:tcPr>
          <w:p w14:paraId="32A328C7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lastRenderedPageBreak/>
              <w:t xml:space="preserve">Numéro(s) </w:t>
            </w:r>
            <w:proofErr w:type="gramStart"/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ONSS:</w:t>
            </w:r>
            <w:proofErr w:type="gramEnd"/>
            <w:r>
              <w:rPr>
                <w:rFonts w:ascii="Century Gothic" w:hAnsi="Century Gothic"/>
                <w:sz w:val="2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lang w:val="fr-FR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 xml:space="preserve">  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  <w:lang w:val="fr-FR"/>
              </w:rPr>
              <w:t xml:space="preserve">- </w:t>
            </w: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lang w:val="fr-FR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  <w:r>
              <w:rPr>
                <w:rFonts w:ascii="Century Gothic" w:hAnsi="Century Gothic"/>
                <w:sz w:val="22"/>
                <w:lang w:val="fr-FR"/>
              </w:rPr>
              <w:t>-</w:t>
            </w:r>
            <w:r>
              <w:rPr>
                <w:rFonts w:ascii="Century Gothic" w:hAnsi="Century Gothic"/>
                <w:sz w:val="22"/>
                <w:lang w:val="fr-FR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lang w:val="fr-FR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lang w:val="fr-FR"/>
              </w:rPr>
            </w:r>
            <w:r>
              <w:rPr>
                <w:rFonts w:ascii="Century Gothic" w:hAnsi="Century Gothic"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  <w:p w14:paraId="38602753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  <w:p w14:paraId="5BD15B24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  <w:p w14:paraId="09A25291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  <w:p w14:paraId="33463A07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</w:tr>
      <w:tr w:rsidR="005C213D" w14:paraId="0097F7EB" w14:textId="77777777" w:rsidTr="00206D16">
        <w:tc>
          <w:tcPr>
            <w:tcW w:w="5000" w:type="pct"/>
            <w:gridSpan w:val="4"/>
          </w:tcPr>
          <w:p w14:paraId="5C64C5C3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>Numéro(s)</w:t>
            </w:r>
            <w:r>
              <w:rPr>
                <w:rStyle w:val="Appelnotedebasdep"/>
                <w:rFonts w:ascii="Century Gothic" w:hAnsi="Century Gothic"/>
                <w:b/>
                <w:bCs/>
                <w:sz w:val="22"/>
                <w:lang w:val="fr-FR"/>
              </w:rPr>
              <w:footnoteReference w:id="3"/>
            </w: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 xml:space="preserve"> BCE : </w:t>
            </w:r>
          </w:p>
          <w:p w14:paraId="2103A16F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</w:rPr>
            </w:pPr>
          </w:p>
          <w:p w14:paraId="2354DFC4" w14:textId="77777777" w:rsidR="005C213D" w:rsidRDefault="005C213D" w:rsidP="00206D16">
            <w:pPr>
              <w:ind w:left="180"/>
              <w:jc w:val="both"/>
              <w:rPr>
                <w:rFonts w:ascii="Century Gothic" w:hAnsi="Century Gothic"/>
                <w:sz w:val="22"/>
                <w:lang w:val="fr-FR"/>
              </w:rPr>
            </w:pPr>
            <w:r>
              <w:rPr>
                <w:rFonts w:ascii="Century Gothic" w:hAnsi="Century Gothic"/>
                <w:sz w:val="22"/>
                <w:lang w:val="fr-FR"/>
              </w:rPr>
              <w:t xml:space="preserve">  </w:t>
            </w:r>
          </w:p>
          <w:p w14:paraId="0A191DC6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</w:tr>
      <w:tr w:rsidR="005C213D" w14:paraId="43E88966" w14:textId="77777777" w:rsidTr="00206D16">
        <w:tc>
          <w:tcPr>
            <w:tcW w:w="1250" w:type="pct"/>
            <w:tcBorders>
              <w:bottom w:val="single" w:sz="6" w:space="0" w:color="auto"/>
            </w:tcBorders>
          </w:tcPr>
          <w:p w14:paraId="610EB4AE" w14:textId="77777777" w:rsidR="005C213D" w:rsidRDefault="005C213D" w:rsidP="00206D16">
            <w:pPr>
              <w:pStyle w:val="Corpsdetexte"/>
              <w:ind w:left="180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N° Commission(s) paritaire(s) Ouvriers</w:t>
            </w:r>
            <w:r>
              <w:rPr>
                <w:rStyle w:val="Appelnotedebasdep"/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ootnoteReference w:customMarkFollows="1" w:id="4"/>
              <w:t>4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:</w:t>
            </w:r>
          </w:p>
          <w:p w14:paraId="0C366DE7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  <w:tc>
          <w:tcPr>
            <w:tcW w:w="1250" w:type="pct"/>
            <w:tcBorders>
              <w:bottom w:val="single" w:sz="6" w:space="0" w:color="auto"/>
            </w:tcBorders>
          </w:tcPr>
          <w:p w14:paraId="1F22EB12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  <w:lang w:val="fr-FR"/>
              </w:rPr>
            </w: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</w:tc>
        <w:tc>
          <w:tcPr>
            <w:tcW w:w="1250" w:type="pct"/>
            <w:tcBorders>
              <w:bottom w:val="single" w:sz="6" w:space="0" w:color="auto"/>
            </w:tcBorders>
          </w:tcPr>
          <w:p w14:paraId="19A0D534" w14:textId="77777777" w:rsidR="005C213D" w:rsidRDefault="005C213D" w:rsidP="00206D16">
            <w:pPr>
              <w:pStyle w:val="Corpsdetexte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N° Commission(s) paritaire(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s)  Employés</w:t>
            </w:r>
            <w:proofErr w:type="gramEnd"/>
            <w:r>
              <w:rPr>
                <w:rStyle w:val="Appelnotedebasdep"/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4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:</w:t>
            </w:r>
          </w:p>
        </w:tc>
        <w:tc>
          <w:tcPr>
            <w:tcW w:w="1250" w:type="pct"/>
            <w:tcBorders>
              <w:bottom w:val="single" w:sz="6" w:space="0" w:color="auto"/>
            </w:tcBorders>
          </w:tcPr>
          <w:p w14:paraId="4A1FE031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sz w:val="22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</w:rPr>
            </w:r>
            <w:r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t> </w:t>
            </w:r>
            <w:r>
              <w:rPr>
                <w:rFonts w:ascii="Century Gothic" w:hAnsi="Century Gothic"/>
                <w:sz w:val="22"/>
              </w:rPr>
              <w:fldChar w:fldCharType="end"/>
            </w:r>
          </w:p>
        </w:tc>
      </w:tr>
      <w:tr w:rsidR="005C213D" w14:paraId="560F7AAA" w14:textId="77777777" w:rsidTr="00206D16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</w:tcPr>
          <w:p w14:paraId="4AEBE07A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Responsable dans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l’entreprise:</w:t>
            </w:r>
            <w:proofErr w:type="gramEnd"/>
          </w:p>
        </w:tc>
      </w:tr>
      <w:tr w:rsidR="005C213D" w14:paraId="0C267A21" w14:textId="77777777" w:rsidTr="00206D16"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</w:tcPr>
          <w:p w14:paraId="2AE1BD80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</w:rPr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b/>
                <w:bCs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</w:rPr>
              <w:fldChar w:fldCharType="end"/>
            </w:r>
          </w:p>
          <w:p w14:paraId="312FA700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</w:p>
        </w:tc>
      </w:tr>
    </w:tbl>
    <w:p w14:paraId="3B27F046" w14:textId="77777777" w:rsidR="005C213D" w:rsidRDefault="005C213D" w:rsidP="005C213D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4"/>
      </w:tblGrid>
      <w:tr w:rsidR="005C213D" w:rsidRPr="00C6468C" w14:paraId="6449FECD" w14:textId="77777777" w:rsidTr="00206D16">
        <w:tc>
          <w:tcPr>
            <w:tcW w:w="5000" w:type="pct"/>
            <w:gridSpan w:val="2"/>
            <w:tcBorders>
              <w:top w:val="single" w:sz="6" w:space="0" w:color="auto"/>
              <w:bottom w:val="nil"/>
            </w:tcBorders>
          </w:tcPr>
          <w:p w14:paraId="06396E52" w14:textId="77777777" w:rsidR="005C213D" w:rsidRPr="00F8685B" w:rsidRDefault="005C213D" w:rsidP="00206D16">
            <w:pPr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fr-FR"/>
              </w:rPr>
              <w:t xml:space="preserve">   </w:t>
            </w:r>
            <w:r w:rsidRPr="00F8685B">
              <w:rPr>
                <w:rFonts w:ascii="Century Gothic" w:hAnsi="Century Gothic"/>
                <w:b/>
                <w:bCs/>
                <w:sz w:val="22"/>
                <w:lang w:val="fr-FR"/>
              </w:rPr>
              <w:t xml:space="preserve">Personne de contact dans </w:t>
            </w:r>
            <w:proofErr w:type="gramStart"/>
            <w:r w:rsidRPr="00F8685B">
              <w:rPr>
                <w:rFonts w:ascii="Century Gothic" w:hAnsi="Century Gothic"/>
                <w:b/>
                <w:bCs/>
                <w:sz w:val="22"/>
                <w:lang w:val="fr-FR"/>
              </w:rPr>
              <w:t>l’entreprise</w:t>
            </w:r>
            <w:r w:rsidRPr="00F8685B">
              <w:rPr>
                <w:rFonts w:ascii="Century Gothic" w:hAnsi="Century Gothic"/>
                <w:sz w:val="22"/>
                <w:lang w:val="fr-FR"/>
              </w:rPr>
              <w:t>:</w:t>
            </w:r>
            <w:proofErr w:type="gramEnd"/>
          </w:p>
        </w:tc>
      </w:tr>
      <w:tr w:rsidR="005C213D" w14:paraId="3EA05B28" w14:textId="77777777" w:rsidTr="00206D16">
        <w:tc>
          <w:tcPr>
            <w:tcW w:w="5000" w:type="pct"/>
            <w:gridSpan w:val="2"/>
            <w:tcBorders>
              <w:top w:val="nil"/>
              <w:bottom w:val="single" w:sz="6" w:space="0" w:color="auto"/>
            </w:tcBorders>
          </w:tcPr>
          <w:p w14:paraId="05C0F576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5695746D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</w:tr>
      <w:tr w:rsidR="005C213D" w14:paraId="2982A1AD" w14:textId="77777777" w:rsidTr="00206D16">
        <w:trPr>
          <w:trHeight w:val="275"/>
        </w:trPr>
        <w:tc>
          <w:tcPr>
            <w:tcW w:w="2499" w:type="pct"/>
            <w:tcBorders>
              <w:top w:val="single" w:sz="6" w:space="0" w:color="auto"/>
            </w:tcBorders>
          </w:tcPr>
          <w:p w14:paraId="28D5D40A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t xml:space="preserve">Numéro de </w:t>
            </w:r>
            <w:proofErr w:type="gramStart"/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t>téléphone:</w:t>
            </w:r>
            <w:proofErr w:type="gramEnd"/>
          </w:p>
        </w:tc>
        <w:tc>
          <w:tcPr>
            <w:tcW w:w="2501" w:type="pct"/>
            <w:tcBorders>
              <w:top w:val="single" w:sz="6" w:space="0" w:color="auto"/>
            </w:tcBorders>
          </w:tcPr>
          <w:p w14:paraId="2E345A8D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  <w:lang w:val="de-DE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</w:tc>
      </w:tr>
      <w:tr w:rsidR="005C213D" w14:paraId="2BCF7E18" w14:textId="77777777" w:rsidTr="00206D16">
        <w:trPr>
          <w:trHeight w:val="275"/>
        </w:trPr>
        <w:tc>
          <w:tcPr>
            <w:tcW w:w="2499" w:type="pct"/>
          </w:tcPr>
          <w:p w14:paraId="13812425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  <w:lang w:val="de-DE"/>
              </w:rPr>
              <w:t>Fax:</w:t>
            </w:r>
          </w:p>
        </w:tc>
        <w:tc>
          <w:tcPr>
            <w:tcW w:w="2501" w:type="pct"/>
          </w:tcPr>
          <w:p w14:paraId="5C545F0E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  <w:lang w:val="de-DE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</w:tc>
      </w:tr>
      <w:tr w:rsidR="005C213D" w14:paraId="7B30D754" w14:textId="77777777" w:rsidTr="00206D16">
        <w:trPr>
          <w:trHeight w:val="275"/>
        </w:trPr>
        <w:tc>
          <w:tcPr>
            <w:tcW w:w="2499" w:type="pct"/>
            <w:tcBorders>
              <w:bottom w:val="single" w:sz="6" w:space="0" w:color="auto"/>
            </w:tcBorders>
          </w:tcPr>
          <w:p w14:paraId="522528AC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proofErr w:type="spellStart"/>
            <w:r>
              <w:rPr>
                <w:rFonts w:ascii="Century Gothic" w:hAnsi="Century Gothic"/>
                <w:i/>
                <w:iCs/>
                <w:sz w:val="22"/>
                <w:lang w:val="de-DE"/>
              </w:rPr>
              <w:t>e-mail</w:t>
            </w:r>
            <w:proofErr w:type="spellEnd"/>
            <w:r>
              <w:rPr>
                <w:rFonts w:ascii="Century Gothic" w:hAnsi="Century Gothic"/>
                <w:i/>
                <w:iCs/>
                <w:sz w:val="22"/>
                <w:lang w:val="de-DE"/>
              </w:rPr>
              <w:t>:</w:t>
            </w:r>
          </w:p>
        </w:tc>
        <w:tc>
          <w:tcPr>
            <w:tcW w:w="2501" w:type="pct"/>
            <w:tcBorders>
              <w:bottom w:val="single" w:sz="6" w:space="0" w:color="auto"/>
            </w:tcBorders>
          </w:tcPr>
          <w:p w14:paraId="76963309" w14:textId="77777777" w:rsidR="005C213D" w:rsidRDefault="005C213D" w:rsidP="00206D16">
            <w:pPr>
              <w:pStyle w:val="Corpsdetexte"/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  <w:lang w:val="de-DE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</w:tc>
      </w:tr>
    </w:tbl>
    <w:p w14:paraId="1BC1A37C" w14:textId="77777777" w:rsidR="005C213D" w:rsidRDefault="005C213D" w:rsidP="005C213D">
      <w:pPr>
        <w:rPr>
          <w:i/>
          <w:iCs/>
        </w:rPr>
      </w:pPr>
    </w:p>
    <w:p w14:paraId="6EA98A29" w14:textId="77777777" w:rsidR="005C213D" w:rsidRDefault="005C213D" w:rsidP="005C213D">
      <w:pPr>
        <w:rPr>
          <w:i/>
          <w:iCs/>
        </w:rPr>
      </w:pPr>
    </w:p>
    <w:p w14:paraId="792636FC" w14:textId="77777777" w:rsidR="005C213D" w:rsidRDefault="005C213D" w:rsidP="005C213D">
      <w:pPr>
        <w:rPr>
          <w:i/>
          <w:iCs/>
        </w:rPr>
      </w:pPr>
    </w:p>
    <w:p w14:paraId="4A18578F" w14:textId="77777777" w:rsidR="005C213D" w:rsidRDefault="005C213D" w:rsidP="005C213D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5C213D" w:rsidRPr="00C6468C" w14:paraId="1BFEAB5E" w14:textId="77777777" w:rsidTr="00206D16"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14:paraId="22E3E616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Nature de l’activité de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l’UTE:</w:t>
            </w:r>
            <w:proofErr w:type="gramEnd"/>
          </w:p>
        </w:tc>
      </w:tr>
      <w:tr w:rsidR="005C213D" w14:paraId="65C0C1E5" w14:textId="77777777" w:rsidTr="00206D16">
        <w:tc>
          <w:tcPr>
            <w:tcW w:w="5000" w:type="pct"/>
            <w:tcBorders>
              <w:top w:val="nil"/>
              <w:bottom w:val="single" w:sz="8" w:space="0" w:color="auto"/>
            </w:tcBorders>
          </w:tcPr>
          <w:p w14:paraId="1400F2AB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  <w:p w14:paraId="036A4279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2" w:name="Tekstvak4"/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  <w:bookmarkEnd w:id="2"/>
          </w:p>
          <w:p w14:paraId="1E84BFDA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</w:p>
        </w:tc>
      </w:tr>
    </w:tbl>
    <w:p w14:paraId="2EDB54C5" w14:textId="77777777" w:rsidR="005C213D" w:rsidRDefault="005C213D" w:rsidP="005C213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5C213D" w14:paraId="0001263B" w14:textId="77777777" w:rsidTr="00927233"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D698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18"/>
                <w:lang w:val="fr-FR"/>
              </w:rPr>
              <w:t>2. Licenciement collectif</w:t>
            </w:r>
          </w:p>
          <w:p w14:paraId="24E85492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sz w:val="18"/>
                <w:lang w:val="fr-FR"/>
              </w:rPr>
            </w:pPr>
          </w:p>
        </w:tc>
      </w:tr>
      <w:tr w:rsidR="005C213D" w14:paraId="589BF282" w14:textId="77777777" w:rsidTr="00927233"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459F5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Motifs des licenciements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prévus:</w:t>
            </w:r>
            <w:proofErr w:type="gramEnd"/>
          </w:p>
        </w:tc>
      </w:tr>
      <w:tr w:rsidR="005C213D" w14:paraId="5A6BDEC8" w14:textId="77777777" w:rsidTr="00927233"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3925" w14:textId="77777777" w:rsidR="005C213D" w:rsidRDefault="005C213D" w:rsidP="005C213D">
            <w:pPr>
              <w:pStyle w:val="Corpsdetexte"/>
              <w:numPr>
                <w:ilvl w:val="0"/>
                <w:numId w:val="3"/>
              </w:numPr>
              <w:spacing w:after="0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03A42B12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</w:p>
          <w:p w14:paraId="4C14F0EF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</w:p>
        </w:tc>
      </w:tr>
      <w:tr w:rsidR="005C213D" w:rsidRPr="00C6468C" w14:paraId="44A08C13" w14:textId="77777777" w:rsidTr="0092723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4E9650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lastRenderedPageBreak/>
              <w:t xml:space="preserve">Nombre et catégories de travailleurs de l’UTE visés par le licenciement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collectif:</w:t>
            </w:r>
            <w:proofErr w:type="gramEnd"/>
          </w:p>
        </w:tc>
        <w:tc>
          <w:tcPr>
            <w:tcW w:w="45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E97E57" w14:textId="77777777" w:rsidR="005C213D" w:rsidRPr="00E77A18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Nombre et catégories de travailleurs occupés habituellement dans l’UTE</w:t>
            </w:r>
            <w:r>
              <w:rPr>
                <w:rStyle w:val="Appelnotedebasdep"/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ootnoteReference w:customMarkFollows="1" w:id="5"/>
              <w:t>5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:</w:t>
            </w:r>
          </w:p>
        </w:tc>
      </w:tr>
      <w:tr w:rsidR="005C213D" w14:paraId="51A3F7D5" w14:textId="77777777" w:rsidTr="00927233">
        <w:trPr>
          <w:trHeight w:val="90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2A7EC8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u w:val="single"/>
                <w:lang w:val="fr-FR"/>
              </w:rPr>
            </w:pPr>
          </w:p>
          <w:p w14:paraId="1F4E9C3E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u w:val="single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3" w:name="Tekstvak5"/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  <w:bookmarkEnd w:id="3"/>
          </w:p>
          <w:p w14:paraId="25CCCB58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</w:p>
        </w:tc>
        <w:tc>
          <w:tcPr>
            <w:tcW w:w="45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A1BA1F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u w:val="single"/>
              </w:rPr>
            </w:pPr>
          </w:p>
          <w:p w14:paraId="236E1839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</w:tc>
      </w:tr>
      <w:tr w:rsidR="005C213D" w:rsidRPr="00C6468C" w14:paraId="0E6FA460" w14:textId="77777777" w:rsidTr="00927233"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777E7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Période au cours de laquelle se déroule le licenciement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collectif:</w:t>
            </w:r>
            <w:proofErr w:type="gramEnd"/>
          </w:p>
        </w:tc>
      </w:tr>
      <w:tr w:rsidR="005C213D" w14:paraId="4B12A61B" w14:textId="77777777" w:rsidTr="00927233"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6FA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</w:p>
          <w:p w14:paraId="166FB631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56AD2288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u w:val="single"/>
              </w:rPr>
            </w:pPr>
          </w:p>
        </w:tc>
      </w:tr>
      <w:tr w:rsidR="005C213D" w:rsidRPr="00C6468C" w14:paraId="007F4FBE" w14:textId="77777777" w:rsidTr="00927233"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B2676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Critères établis pour la sélection des travailleurs qui entrent en considération pour le licenciement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collectif:</w:t>
            </w:r>
            <w:proofErr w:type="gramEnd"/>
          </w:p>
        </w:tc>
      </w:tr>
      <w:tr w:rsidR="005C213D" w14:paraId="1072A406" w14:textId="77777777" w:rsidTr="00927233"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B74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</w:p>
          <w:p w14:paraId="6749CA28" w14:textId="77777777" w:rsidR="005C213D" w:rsidRDefault="005C213D" w:rsidP="005C213D">
            <w:pPr>
              <w:pStyle w:val="Corpsdetexte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14DD3DC8" w14:textId="77777777" w:rsidR="005C213D" w:rsidRDefault="005C213D" w:rsidP="005C213D">
            <w:pPr>
              <w:pStyle w:val="Corpsdetexte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0697EA57" w14:textId="77777777" w:rsidR="005C213D" w:rsidRDefault="005C213D" w:rsidP="005C213D">
            <w:pPr>
              <w:pStyle w:val="Corpsdetexte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0D05C66D" w14:textId="77777777" w:rsidR="005C213D" w:rsidRDefault="005C213D" w:rsidP="005C213D">
            <w:pPr>
              <w:pStyle w:val="Corpsdetexte"/>
              <w:numPr>
                <w:ilvl w:val="0"/>
                <w:numId w:val="1"/>
              </w:numPr>
              <w:spacing w:after="0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00993428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u w:val="single"/>
              </w:rPr>
            </w:pPr>
          </w:p>
        </w:tc>
      </w:tr>
      <w:tr w:rsidR="005C213D" w:rsidRPr="00C6468C" w14:paraId="5B793380" w14:textId="77777777" w:rsidTr="00927233">
        <w:trPr>
          <w:trHeight w:val="486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B2438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Mode de calcul des indemnités de licenciement qui ne sont pas imposées par la loi ou par une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CCT:</w:t>
            </w:r>
            <w:proofErr w:type="gramEnd"/>
          </w:p>
        </w:tc>
      </w:tr>
      <w:tr w:rsidR="005C213D" w14:paraId="3C607D2B" w14:textId="77777777" w:rsidTr="00927233">
        <w:trPr>
          <w:trHeight w:val="2230"/>
        </w:trPr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BB4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</w:p>
          <w:p w14:paraId="10316497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51ECB36B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</w:p>
          <w:p w14:paraId="00AC036A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</w:rPr>
            </w:pPr>
            <w:r>
              <w:rPr>
                <w:rFonts w:ascii="Century Gothic" w:hAnsi="Century Gothic"/>
                <w:i/>
                <w:iCs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Century Gothic" w:hAnsi="Century Gothic"/>
                <w:i/>
                <w:iCs/>
                <w:sz w:val="22"/>
              </w:rPr>
              <w:instrText xml:space="preserve"> FORMTEXT </w:instrText>
            </w:r>
            <w:r>
              <w:rPr>
                <w:rFonts w:ascii="Century Gothic" w:hAnsi="Century Gothic"/>
                <w:i/>
                <w:iCs/>
                <w:sz w:val="22"/>
              </w:rPr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separate"/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noProof/>
                <w:sz w:val="22"/>
              </w:rPr>
              <w:t> </w:t>
            </w:r>
            <w:r>
              <w:rPr>
                <w:rFonts w:ascii="Century Gothic" w:hAnsi="Century Gothic"/>
                <w:i/>
                <w:iCs/>
                <w:sz w:val="22"/>
              </w:rPr>
              <w:fldChar w:fldCharType="end"/>
            </w:r>
          </w:p>
          <w:p w14:paraId="757C4B45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u w:val="single"/>
              </w:rPr>
            </w:pPr>
          </w:p>
        </w:tc>
      </w:tr>
      <w:tr w:rsidR="005C213D" w:rsidRPr="00C6468C" w14:paraId="34F1E8AE" w14:textId="77777777" w:rsidTr="00927233">
        <w:trPr>
          <w:trHeight w:val="630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EB210" w14:textId="77777777" w:rsidR="005C213D" w:rsidRDefault="005C213D" w:rsidP="00206D16">
            <w:pPr>
              <w:pStyle w:val="Corpsdetexte"/>
              <w:rPr>
                <w:rFonts w:ascii="Century Gothic" w:hAnsi="Century Gothic"/>
                <w:b/>
                <w:bCs/>
                <w:i/>
                <w:iCs/>
                <w:sz w:val="18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18"/>
                <w:lang w:val="fr-FR"/>
              </w:rPr>
              <w:t>La déclaration suivante est uniquement destinée à l’employeur qui occupe 20 travailleurs au maximum ou qui ressortit à la Commission paritaire pour les entreprises de travail adapté et les ateliers sociaux ou à une des Sous-commissions paritaire de cette Commission paritaire</w:t>
            </w:r>
            <w:r>
              <w:rPr>
                <w:rStyle w:val="Appelnotedebasdep"/>
                <w:rFonts w:ascii="Century Gothic" w:hAnsi="Century Gothic"/>
                <w:b/>
                <w:bCs/>
                <w:i/>
                <w:iCs/>
                <w:sz w:val="18"/>
              </w:rPr>
              <w:footnoteReference w:id="6"/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  <w:lang w:val="fr-FR"/>
              </w:rPr>
              <w:t>:</w:t>
            </w:r>
          </w:p>
        </w:tc>
      </w:tr>
      <w:tr w:rsidR="005C213D" w:rsidRPr="00C6468C" w14:paraId="1B36313A" w14:textId="77777777" w:rsidTr="00927233">
        <w:trPr>
          <w:trHeight w:val="630"/>
        </w:trPr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81F05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  <w:p w14:paraId="7E4AEB6A" w14:textId="77777777" w:rsidR="005C213D" w:rsidRDefault="005C213D" w:rsidP="00206D16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>
              <w:rPr>
                <w:rFonts w:ascii="Century Gothic" w:hAnsi="Century Gothic"/>
                <w:i/>
                <w:iCs/>
                <w:sz w:val="22"/>
                <w:lang w:val="fr-FR"/>
              </w:rPr>
              <w:t>Je m’engage à mettre en place une cellule pour l’emploi ou à participer à une cellule pour l’emploi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      OUI 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bCs/>
                <w:i/>
                <w:iCs/>
              </w:rPr>
            </w:r>
            <w:r w:rsidR="00000000">
              <w:rPr>
                <w:rFonts w:ascii="Century Gothic" w:hAnsi="Century Gothic"/>
                <w:b/>
                <w:bCs/>
                <w:i/>
                <w:i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i/>
                <w:iCs/>
              </w:rPr>
              <w:fldChar w:fldCharType="end"/>
            </w:r>
            <w:bookmarkEnd w:id="4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NON 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Century Gothic" w:hAnsi="Century Gothic"/>
                <w:b/>
                <w:bCs/>
                <w:i/>
                <w:iCs/>
                <w:lang w:val="fr-FR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bCs/>
                <w:i/>
                <w:iCs/>
              </w:rPr>
            </w:r>
            <w:r w:rsidR="00000000">
              <w:rPr>
                <w:rFonts w:ascii="Century Gothic" w:hAnsi="Century Gothic"/>
                <w:b/>
                <w:bCs/>
                <w:i/>
                <w:i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927233" w:rsidRPr="00C6468C" w14:paraId="0C1474F7" w14:textId="77777777" w:rsidTr="00927233">
        <w:trPr>
          <w:trHeight w:val="630"/>
        </w:trPr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810" w14:textId="77777777" w:rsidR="00927233" w:rsidRDefault="00927233" w:rsidP="00206D16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</w:tr>
      <w:tr w:rsidR="00927233" w:rsidRPr="008F331B" w14:paraId="39A2CB45" w14:textId="77777777" w:rsidTr="00927233">
        <w:trPr>
          <w:trHeight w:val="630"/>
        </w:trPr>
        <w:tc>
          <w:tcPr>
            <w:tcW w:w="9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A81" w14:textId="77777777" w:rsidR="00927233" w:rsidRDefault="00927233" w:rsidP="00927233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bookmarkStart w:id="6" w:name="_Hlk160524970"/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>Avez-vous pris connaissance de la recommandation n° 28 du Conseil national du travail ?</w:t>
            </w:r>
            <w:r>
              <w:rPr>
                <w:rStyle w:val="Appelnotedebasdep"/>
                <w:rFonts w:ascii="Century Gothic" w:hAnsi="Century Gothic"/>
                <w:b/>
                <w:bCs/>
                <w:i/>
                <w:iCs/>
                <w:sz w:val="22"/>
                <w:lang w:val="nl-BE"/>
              </w:rPr>
              <w:footnoteReference w:id="7"/>
            </w:r>
          </w:p>
          <w:p w14:paraId="7AED9995" w14:textId="77777777" w:rsidR="00927233" w:rsidRPr="00FF4568" w:rsidRDefault="00927233" w:rsidP="00927233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</w:p>
          <w:p w14:paraId="0829D75A" w14:textId="77777777" w:rsidR="00927233" w:rsidRDefault="00927233" w:rsidP="00927233">
            <w:pPr>
              <w:pStyle w:val="Corpsdetexte"/>
              <w:jc w:val="both"/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pP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     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OUI  </w:t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r>
            <w:r w:rsidR="00000000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ldChar w:fldCharType="separate"/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ldChar w:fldCharType="end"/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    </w:t>
            </w:r>
            <w:r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t xml:space="preserve">NON  </w:t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instrText xml:space="preserve"> FORMCHECKBOX </w:instrText>
            </w:r>
            <w:r w:rsidR="00000000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</w:r>
            <w:r w:rsidR="00000000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ldChar w:fldCharType="separate"/>
            </w:r>
            <w:r w:rsidRPr="00FF4568">
              <w:rPr>
                <w:rFonts w:ascii="Century Gothic" w:hAnsi="Century Gothic"/>
                <w:b/>
                <w:bCs/>
                <w:i/>
                <w:iCs/>
                <w:sz w:val="22"/>
                <w:lang w:val="fr-FR"/>
              </w:rPr>
              <w:fldChar w:fldCharType="end"/>
            </w:r>
          </w:p>
          <w:p w14:paraId="04AE9BFC" w14:textId="4BFCD1C4" w:rsidR="00927233" w:rsidRPr="00927233" w:rsidRDefault="00927233" w:rsidP="0076111A">
            <w:pPr>
              <w:pStyle w:val="Corpsdetexte"/>
              <w:jc w:val="both"/>
              <w:rPr>
                <w:rFonts w:ascii="Century Gothic" w:hAnsi="Century Gothic"/>
                <w:i/>
                <w:iCs/>
                <w:sz w:val="22"/>
                <w:lang w:val="fr-FR"/>
              </w:rPr>
            </w:pPr>
          </w:p>
        </w:tc>
      </w:tr>
      <w:bookmarkEnd w:id="6"/>
    </w:tbl>
    <w:p w14:paraId="73CBB54C" w14:textId="77777777" w:rsidR="004B10DE" w:rsidRDefault="004B10DE" w:rsidP="00927233">
      <w:pPr>
        <w:pStyle w:val="Corpsdetexte"/>
      </w:pPr>
    </w:p>
    <w:sectPr w:rsidR="004B10DE">
      <w:footerReference w:type="default" r:id="rId9"/>
      <w:type w:val="continuous"/>
      <w:pgSz w:w="11907" w:h="16840" w:code="9"/>
      <w:pgMar w:top="851" w:right="851" w:bottom="567" w:left="187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C4F7" w14:textId="77777777" w:rsidR="00C4359E" w:rsidRDefault="00C4359E">
      <w:r>
        <w:separator/>
      </w:r>
    </w:p>
  </w:endnote>
  <w:endnote w:type="continuationSeparator" w:id="0">
    <w:p w14:paraId="19BDC18A" w14:textId="77777777" w:rsidR="00C4359E" w:rsidRDefault="00C4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DF27" w14:textId="77777777" w:rsidR="006A332F" w:rsidRDefault="006A33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0DA3" w14:textId="77777777" w:rsidR="00C4359E" w:rsidRDefault="00C4359E">
      <w:r>
        <w:separator/>
      </w:r>
    </w:p>
  </w:footnote>
  <w:footnote w:type="continuationSeparator" w:id="0">
    <w:p w14:paraId="3911195F" w14:textId="77777777" w:rsidR="00C4359E" w:rsidRDefault="00C4359E">
      <w:r>
        <w:continuationSeparator/>
      </w:r>
    </w:p>
  </w:footnote>
  <w:footnote w:id="1">
    <w:p w14:paraId="123B62B3" w14:textId="77777777" w:rsidR="005C213D" w:rsidRPr="00CA68CD" w:rsidRDefault="005C213D" w:rsidP="005C213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62607">
        <w:rPr>
          <w:lang w:val="fr-FR"/>
        </w:rPr>
        <w:t xml:space="preserve"> </w:t>
      </w:r>
      <w:r w:rsidRPr="00CA68CD">
        <w:rPr>
          <w:lang w:val="fr-BE"/>
        </w:rPr>
        <w:t>Art. 6, al. 2 et 3, de l’arrêté royal du 24 mai 1976 sur les licenciements collectifs</w:t>
      </w:r>
    </w:p>
  </w:footnote>
  <w:footnote w:id="2">
    <w:p w14:paraId="0B463171" w14:textId="77777777" w:rsidR="005C213D" w:rsidRPr="00CA68CD" w:rsidRDefault="005C213D" w:rsidP="005C213D">
      <w:pPr>
        <w:pStyle w:val="Notedebasdepage"/>
        <w:rPr>
          <w:lang w:val="fr-BE"/>
        </w:rPr>
      </w:pPr>
      <w:r w:rsidRPr="00CA68CD">
        <w:rPr>
          <w:rStyle w:val="Appelnotedebasdep"/>
          <w:lang w:val="fr-BE"/>
        </w:rPr>
        <w:footnoteRef/>
      </w:r>
      <w:r w:rsidRPr="00CA68CD">
        <w:rPr>
          <w:lang w:val="fr-BE"/>
        </w:rPr>
        <w:t xml:space="preserve"> Lorsque l’unité technique d’exploitation dépend de plusieurs entités juridiques, un seul formulaire est nécessaire. Veuillez ajouter  toutes les entités juridiques</w:t>
      </w:r>
    </w:p>
  </w:footnote>
  <w:footnote w:id="3">
    <w:p w14:paraId="1EE3694F" w14:textId="77777777" w:rsidR="005C213D" w:rsidRPr="00CA68CD" w:rsidRDefault="005C213D" w:rsidP="005C213D">
      <w:pPr>
        <w:pStyle w:val="Notedebasdepage"/>
        <w:rPr>
          <w:lang w:val="fr-BE"/>
        </w:rPr>
      </w:pPr>
      <w:r w:rsidRPr="00CA68CD">
        <w:rPr>
          <w:rStyle w:val="Appelnotedebasdep"/>
          <w:lang w:val="fr-BE"/>
        </w:rPr>
        <w:footnoteRef/>
      </w:r>
      <w:r w:rsidRPr="00CA68CD">
        <w:rPr>
          <w:lang w:val="fr-BE"/>
        </w:rPr>
        <w:t xml:space="preserve"> Ajouter l</w:t>
      </w:r>
      <w:r>
        <w:rPr>
          <w:lang w:val="fr-BE"/>
        </w:rPr>
        <w:t>e</w:t>
      </w:r>
      <w:r w:rsidRPr="00CA68CD">
        <w:rPr>
          <w:lang w:val="fr-BE"/>
        </w:rPr>
        <w:t xml:space="preserve">/les </w:t>
      </w:r>
      <w:r>
        <w:rPr>
          <w:lang w:val="fr-BE"/>
        </w:rPr>
        <w:t xml:space="preserve">numéros de/des </w:t>
      </w:r>
      <w:r w:rsidRPr="00CA68CD">
        <w:rPr>
          <w:lang w:val="fr-BE"/>
        </w:rPr>
        <w:t xml:space="preserve">éventuelle(s) unité(s) d’établissement </w:t>
      </w:r>
      <w:r>
        <w:rPr>
          <w:lang w:val="fr-BE"/>
        </w:rPr>
        <w:t xml:space="preserve">concernées si l’UTE se limite à une ou plusieurs unités d’établissement </w:t>
      </w:r>
    </w:p>
  </w:footnote>
  <w:footnote w:id="4">
    <w:p w14:paraId="154BCA74" w14:textId="77777777" w:rsidR="005C213D" w:rsidRPr="004E41CA" w:rsidRDefault="005C213D" w:rsidP="005C213D">
      <w:pPr>
        <w:pStyle w:val="Notedebasdepage"/>
        <w:rPr>
          <w:lang w:val="fr-BE"/>
        </w:rPr>
      </w:pPr>
      <w:r w:rsidRPr="004E41CA">
        <w:rPr>
          <w:rStyle w:val="Appelnotedebasdep"/>
          <w:lang w:val="fr-BE"/>
        </w:rPr>
        <w:t>4</w:t>
      </w:r>
      <w:r w:rsidRPr="004E41CA">
        <w:rPr>
          <w:lang w:val="fr-BE"/>
        </w:rPr>
        <w:t xml:space="preserve"> </w:t>
      </w:r>
      <w:r>
        <w:rPr>
          <w:lang w:val="fr-BE"/>
        </w:rPr>
        <w:t>Veuillez ajouter les commissions paritaires desquelles dépendent les travailleurs visés par le licenciement collectif. Au cas où il y en aurait plusieurs, veuillez souligner la commission paritaire avec le plus grand nombre de travailleurs à licencier.</w:t>
      </w:r>
    </w:p>
  </w:footnote>
  <w:footnote w:id="5">
    <w:p w14:paraId="17A273F3" w14:textId="2FD34A80" w:rsidR="005C213D" w:rsidRPr="00A820F8" w:rsidRDefault="005C213D" w:rsidP="005C213D">
      <w:pPr>
        <w:pStyle w:val="Notedebasdepage"/>
        <w:jc w:val="both"/>
        <w:rPr>
          <w:lang w:val="fr-BE"/>
        </w:rPr>
      </w:pPr>
      <w:r w:rsidRPr="004E41CA">
        <w:rPr>
          <w:rStyle w:val="Appelnotedebasdep"/>
          <w:lang w:val="fr-BE"/>
        </w:rPr>
        <w:t>5</w:t>
      </w:r>
      <w:r w:rsidRPr="004E41CA">
        <w:rPr>
          <w:lang w:val="fr-BE"/>
        </w:rPr>
        <w:t xml:space="preserve"> </w:t>
      </w:r>
      <w:r w:rsidRPr="00A820F8">
        <w:rPr>
          <w:lang w:val="fr-BE"/>
        </w:rPr>
        <w:t xml:space="preserve">Il faut, ici, comprendre, la moyenne des travailleurs occupés pendant l'année civile précédant </w:t>
      </w:r>
      <w:r w:rsidR="00A9454C">
        <w:rPr>
          <w:lang w:val="fr-BE"/>
        </w:rPr>
        <w:t>l</w:t>
      </w:r>
      <w:r w:rsidRPr="00A820F8">
        <w:rPr>
          <w:lang w:val="fr-BE"/>
        </w:rPr>
        <w:t>e licenciement collectif ou, à défaut d'activité de l'entreprise au cours de cette année, la moyenne des travailleurs ayant été occupés durant l'année civile en cours. (Article 1, 5° de l’arrêté royal du 24 mai 1976 sur les licenciements collectifs</w:t>
      </w:r>
    </w:p>
  </w:footnote>
  <w:footnote w:id="6">
    <w:p w14:paraId="4E46E068" w14:textId="77777777" w:rsidR="005C213D" w:rsidRDefault="005C213D" w:rsidP="005C213D">
      <w:pPr>
        <w:pStyle w:val="Notedebasdepage"/>
        <w:rPr>
          <w:rFonts w:ascii="Century Gothic" w:hAnsi="Century Gothic"/>
          <w:sz w:val="16"/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Art. 5, al. 2 ou 5, et art. 8 de l’arrêté royal du 9 mars 2006 relatif à la gestion active des restructurations</w:t>
      </w:r>
    </w:p>
  </w:footnote>
  <w:footnote w:id="7">
    <w:p w14:paraId="483752AA" w14:textId="77777777" w:rsidR="00927233" w:rsidRPr="00FF4568" w:rsidRDefault="00927233" w:rsidP="0092723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F4568">
        <w:rPr>
          <w:lang w:val="fr-FR"/>
        </w:rPr>
        <w:t xml:space="preserve"> Voir </w:t>
      </w:r>
      <w:r w:rsidR="00000000">
        <w:fldChar w:fldCharType="begin"/>
      </w:r>
      <w:r w:rsidR="00000000" w:rsidRPr="00C6468C">
        <w:rPr>
          <w:lang w:val="fr-BE"/>
        </w:rPr>
        <w:instrText>HYPERLINK "https://cnt-nar.be/sites/default/files/documents/AANBEV-RECOM/recommandation-028.pdf"</w:instrText>
      </w:r>
      <w:r w:rsidR="00000000">
        <w:fldChar w:fldCharType="separate"/>
      </w:r>
      <w:r w:rsidRPr="00FF4568">
        <w:rPr>
          <w:rStyle w:val="Lienhypertexte"/>
          <w:lang w:val="fr-FR"/>
        </w:rPr>
        <w:t>recommandation-028.pdf (cnt-nar.be)</w:t>
      </w:r>
      <w:r w:rsidR="00000000">
        <w:rPr>
          <w:rStyle w:val="Lienhypertexte"/>
          <w:lang w:val="fr-FR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689"/>
    <w:multiLevelType w:val="hybridMultilevel"/>
    <w:tmpl w:val="5FB05A46"/>
    <w:lvl w:ilvl="0" w:tplc="4B349CA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CB40B0"/>
    <w:multiLevelType w:val="hybridMultilevel"/>
    <w:tmpl w:val="A35EB93E"/>
    <w:lvl w:ilvl="0" w:tplc="4B349C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4BBD"/>
    <w:multiLevelType w:val="hybridMultilevel"/>
    <w:tmpl w:val="9AF2BB0C"/>
    <w:lvl w:ilvl="0" w:tplc="4B349C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0210923">
    <w:abstractNumId w:val="2"/>
  </w:num>
  <w:num w:numId="2" w16cid:durableId="403644013">
    <w:abstractNumId w:val="0"/>
  </w:num>
  <w:num w:numId="3" w16cid:durableId="204663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3D"/>
    <w:rsid w:val="00093C92"/>
    <w:rsid w:val="001721C5"/>
    <w:rsid w:val="00175192"/>
    <w:rsid w:val="0042316C"/>
    <w:rsid w:val="004A2CCD"/>
    <w:rsid w:val="004B10DE"/>
    <w:rsid w:val="0050065E"/>
    <w:rsid w:val="0051362A"/>
    <w:rsid w:val="005673BC"/>
    <w:rsid w:val="00597313"/>
    <w:rsid w:val="005A18ED"/>
    <w:rsid w:val="005C213D"/>
    <w:rsid w:val="006A332F"/>
    <w:rsid w:val="006C04E6"/>
    <w:rsid w:val="00706BB6"/>
    <w:rsid w:val="007D0B34"/>
    <w:rsid w:val="008173BC"/>
    <w:rsid w:val="00927233"/>
    <w:rsid w:val="009464EF"/>
    <w:rsid w:val="00A93376"/>
    <w:rsid w:val="00A9454C"/>
    <w:rsid w:val="00C4359E"/>
    <w:rsid w:val="00C6468C"/>
    <w:rsid w:val="00CC2E3D"/>
    <w:rsid w:val="00D57396"/>
    <w:rsid w:val="00E106BE"/>
    <w:rsid w:val="00F068B1"/>
    <w:rsid w:val="00F410D6"/>
    <w:rsid w:val="00F6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3BDF7"/>
  <w15:chartTrackingRefBased/>
  <w15:docId w15:val="{42EE4415-C6D6-429D-AA07-3397FC2A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5C213D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after="240" w:line="240" w:lineRule="exact"/>
    </w:pPr>
    <w:rPr>
      <w:rFonts w:ascii="Verdana" w:hAnsi="Verdana"/>
      <w:sz w:val="20"/>
      <w:lang w:val="fr-FR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uiPriority w:val="99"/>
    <w:unhideWhenUsed/>
    <w:rsid w:val="005C21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C213D"/>
    <w:rPr>
      <w:sz w:val="24"/>
      <w:szCs w:val="24"/>
      <w:lang w:val="nl-NL" w:eastAsia="nl-NL"/>
    </w:rPr>
  </w:style>
  <w:style w:type="character" w:customStyle="1" w:styleId="Titre1Car">
    <w:name w:val="Titre 1 Car"/>
    <w:basedOn w:val="Policepardfaut"/>
    <w:link w:val="Titre1"/>
    <w:rsid w:val="005C213D"/>
    <w:rPr>
      <w:rFonts w:ascii="Verdana" w:hAnsi="Verdana"/>
      <w:b/>
      <w:bCs/>
      <w:sz w:val="24"/>
      <w:szCs w:val="24"/>
      <w:lang w:val="nl-NL" w:eastAsia="nl-NL"/>
    </w:rPr>
  </w:style>
  <w:style w:type="character" w:styleId="Lienhypertexte">
    <w:name w:val="Hyperlink"/>
    <w:rsid w:val="005C213D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5C21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C213D"/>
    <w:rPr>
      <w:lang w:val="nl-NL" w:eastAsia="nl-NL"/>
    </w:rPr>
  </w:style>
  <w:style w:type="character" w:styleId="Appelnotedebasdep">
    <w:name w:val="footnote reference"/>
    <w:semiHidden/>
    <w:rsid w:val="005C213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5C21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2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obbej\Downloads\PublicationUnilingue_DEJ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PublicationUnilingue_DEJ</Template>
  <TotalTime>1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FOD Werkgelegenheid, Arbeid en Sociaal Overleg</Company>
  <LinksUpToDate>false</LinksUpToDate>
  <CharactersWithSpaces>3905</CharactersWithSpaces>
  <SharedDoc>false</SharedDoc>
  <HLinks>
    <vt:vector size="12" baseType="variant">
      <vt:variant>
        <vt:i4>8061053</vt:i4>
      </vt:variant>
      <vt:variant>
        <vt:i4>1024</vt:i4>
      </vt:variant>
      <vt:variant>
        <vt:i4>1025</vt:i4>
      </vt:variant>
      <vt:variant>
        <vt:i4>1</vt:i4>
      </vt:variant>
      <vt:variant>
        <vt:lpwstr>DAX-SPF.tif</vt:lpwstr>
      </vt:variant>
      <vt:variant>
        <vt:lpwstr/>
      </vt:variant>
      <vt:variant>
        <vt:i4>8126509</vt:i4>
      </vt:variant>
      <vt:variant>
        <vt:i4>1026</vt:i4>
      </vt:variant>
      <vt:variant>
        <vt:i4>1026</vt:i4>
      </vt:variant>
      <vt:variant>
        <vt:i4>1</vt:i4>
      </vt:variant>
      <vt:variant>
        <vt:lpwstr>..\CBE-tif2004\i-conbas.tif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DOBBELEER Jordy</dc:creator>
  <cp:keywords/>
  <dc:description/>
  <cp:lastModifiedBy>Isidor-Giorgio Ferrara (FOD Werkgelegenheid - SPF Emploi)</cp:lastModifiedBy>
  <cp:revision>2</cp:revision>
  <cp:lastPrinted>2004-08-16T12:59:00Z</cp:lastPrinted>
  <dcterms:created xsi:type="dcterms:W3CDTF">2024-04-17T07:39:00Z</dcterms:created>
  <dcterms:modified xsi:type="dcterms:W3CDTF">2024-04-17T07:39:00Z</dcterms:modified>
</cp:coreProperties>
</file>